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049E52F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7D0F5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706684B9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E13D81">
        <w:rPr>
          <w:rFonts w:cs="Arial"/>
          <w:szCs w:val="24"/>
        </w:rPr>
        <w:t>Joyce Anne Asper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CBE4" w14:textId="77777777" w:rsidR="00CC1FE5" w:rsidRDefault="00CC1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389B" w14:textId="77777777" w:rsidR="00CC1FE5" w:rsidRDefault="00CC1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777A777D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 xml:space="preserve">RFP </w:t>
    </w:r>
    <w:r w:rsidR="00CC1FE5">
      <w:rPr>
        <w:rFonts w:cs="Arial"/>
        <w:sz w:val="20"/>
      </w:rPr>
      <w:t>2025-07 Media Spend Analysis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032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0F5E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4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1FE5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2518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3D81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Asper, JoyceAnne (CoveredCA)</cp:lastModifiedBy>
  <cp:revision>9</cp:revision>
  <cp:lastPrinted>2012-10-03T20:47:00Z</cp:lastPrinted>
  <dcterms:created xsi:type="dcterms:W3CDTF">2025-03-25T21:43:00Z</dcterms:created>
  <dcterms:modified xsi:type="dcterms:W3CDTF">2025-12-04T21:29:00Z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